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BF" w:rsidRPr="00A96CBF" w:rsidRDefault="00A96CBF" w:rsidP="00A96CBF">
      <w:pPr>
        <w:pStyle w:val="bilag"/>
        <w:spacing w:before="120"/>
        <w:jc w:val="left"/>
        <w:rPr>
          <w:rFonts w:ascii="Open Sans" w:hAnsi="Open Sans" w:cs="Open Sans"/>
          <w:sz w:val="60"/>
          <w:szCs w:val="60"/>
        </w:rPr>
      </w:pPr>
      <w:bookmarkStart w:id="0" w:name="_GoBack"/>
      <w:bookmarkEnd w:id="0"/>
      <w:r w:rsidRPr="00A96CBF">
        <w:rPr>
          <w:rFonts w:ascii="Open Sans" w:hAnsi="Open Sans" w:cs="Open Sans"/>
          <w:sz w:val="60"/>
          <w:szCs w:val="60"/>
        </w:rPr>
        <w:t xml:space="preserve">Bekendtgørelsens </w:t>
      </w:r>
      <w:r w:rsidR="009620D3" w:rsidRPr="00A96CBF">
        <w:rPr>
          <w:rFonts w:ascii="Open Sans" w:hAnsi="Open Sans" w:cs="Open Sans"/>
          <w:sz w:val="60"/>
          <w:szCs w:val="60"/>
        </w:rPr>
        <w:t xml:space="preserve">Bilag 5 </w:t>
      </w:r>
    </w:p>
    <w:p w:rsidR="009620D3" w:rsidRPr="00A96CBF" w:rsidRDefault="009620D3" w:rsidP="00A96CBF">
      <w:pPr>
        <w:pStyle w:val="bilag"/>
        <w:spacing w:before="120"/>
        <w:jc w:val="left"/>
        <w:rPr>
          <w:rFonts w:ascii="Open Sans" w:hAnsi="Open Sans" w:cs="Open Sans"/>
          <w:sz w:val="60"/>
          <w:szCs w:val="60"/>
        </w:rPr>
      </w:pPr>
      <w:r w:rsidRPr="00A96CBF">
        <w:rPr>
          <w:rFonts w:ascii="Open Sans" w:hAnsi="Open Sans" w:cs="Open Sans"/>
          <w:sz w:val="60"/>
          <w:szCs w:val="60"/>
        </w:rPr>
        <w:t>Kontrolprogrammet, Del B Kontrolparametre og hyppigheder</w:t>
      </w:r>
    </w:p>
    <w:p w:rsidR="009620D3" w:rsidRPr="009620D3" w:rsidRDefault="009620D3" w:rsidP="009620D3">
      <w:pPr>
        <w:pStyle w:val="NormalWeb"/>
        <w:rPr>
          <w:rFonts w:ascii="Open Sans" w:hAnsi="Open Sans" w:cs="Open Sans"/>
          <w:sz w:val="44"/>
          <w:szCs w:val="44"/>
        </w:rPr>
      </w:pPr>
      <w:r w:rsidRPr="009620D3">
        <w:rPr>
          <w:rStyle w:val="bold1"/>
          <w:rFonts w:ascii="Open Sans" w:hAnsi="Open Sans" w:cs="Open Sans"/>
          <w:sz w:val="44"/>
          <w:szCs w:val="44"/>
        </w:rPr>
        <w:t>1.</w:t>
      </w:r>
      <w:r w:rsidRPr="009620D3">
        <w:rPr>
          <w:rFonts w:ascii="Open Sans" w:hAnsi="Open Sans" w:cs="Open Sans"/>
          <w:sz w:val="44"/>
          <w:szCs w:val="44"/>
        </w:rPr>
        <w:t xml:space="preserve"> </w:t>
      </w:r>
      <w:r w:rsidRPr="009620D3">
        <w:rPr>
          <w:rStyle w:val="bold1"/>
          <w:rFonts w:ascii="Open Sans" w:hAnsi="Open Sans" w:cs="Open Sans"/>
          <w:sz w:val="44"/>
          <w:szCs w:val="44"/>
        </w:rPr>
        <w:t>Generel ramme</w:t>
      </w:r>
    </w:p>
    <w:p w:rsidR="009620D3" w:rsidRPr="009620D3" w:rsidRDefault="009620D3" w:rsidP="009620D3">
      <w:pPr>
        <w:pStyle w:val="NormalWeb"/>
        <w:rPr>
          <w:rFonts w:ascii="Open Sans" w:hAnsi="Open Sans" w:cs="Open Sans"/>
          <w:sz w:val="44"/>
          <w:szCs w:val="44"/>
        </w:rPr>
      </w:pPr>
      <w:r w:rsidRPr="009620D3">
        <w:rPr>
          <w:rFonts w:ascii="Open Sans" w:hAnsi="Open Sans" w:cs="Open Sans"/>
          <w:sz w:val="44"/>
          <w:szCs w:val="44"/>
        </w:rPr>
        <w:t>Et kontrolprogram for drikkevand, jf. § 7, skal tage hensyn til de parametre, der er i bilag 1 a-d, herunder de parametre, der er vigtige for vurderingen af indenlandske distributionssystemers virkning på vandkvaliteten på det sted, hvor kravene skal overholdes, jf. bilag 7.</w:t>
      </w:r>
    </w:p>
    <w:p w:rsidR="009620D3" w:rsidRPr="009620D3" w:rsidRDefault="009620D3" w:rsidP="009620D3">
      <w:pPr>
        <w:pStyle w:val="bilagtekstliste"/>
        <w:rPr>
          <w:rFonts w:ascii="Open Sans" w:hAnsi="Open Sans" w:cs="Open Sans"/>
          <w:sz w:val="44"/>
          <w:szCs w:val="44"/>
        </w:rPr>
      </w:pPr>
      <w:r w:rsidRPr="009620D3">
        <w:rPr>
          <w:rFonts w:ascii="Open Sans" w:hAnsi="Open Sans" w:cs="Open Sans"/>
          <w:sz w:val="44"/>
          <w:szCs w:val="44"/>
        </w:rPr>
        <w:t>Når der vælges egnede parametre, som skal kontrolleres ud over parametrene nævnt nedenfor i punkt 2, skal der, jf. § 7, stk. 8, tages hensyn til de lokale forhold, der gælder for hvert vandforsyningsanlæg, herunder</w:t>
      </w:r>
    </w:p>
    <w:p w:rsidR="009620D3" w:rsidRPr="009620D3" w:rsidRDefault="009620D3" w:rsidP="009620D3">
      <w:pPr>
        <w:pStyle w:val="liste1"/>
        <w:rPr>
          <w:rFonts w:ascii="Open Sans" w:hAnsi="Open Sans" w:cs="Open Sans"/>
          <w:sz w:val="44"/>
          <w:szCs w:val="44"/>
        </w:rPr>
      </w:pPr>
      <w:r w:rsidRPr="009620D3">
        <w:rPr>
          <w:rStyle w:val="liste1nr1"/>
          <w:rFonts w:ascii="Open Sans" w:hAnsi="Open Sans" w:cs="Open Sans"/>
          <w:sz w:val="44"/>
          <w:szCs w:val="44"/>
        </w:rPr>
        <w:t>a)</w:t>
      </w:r>
      <w:r w:rsidRPr="009620D3">
        <w:rPr>
          <w:rFonts w:ascii="Open Sans" w:hAnsi="Open Sans" w:cs="Open Sans"/>
          <w:sz w:val="44"/>
          <w:szCs w:val="44"/>
        </w:rPr>
        <w:t xml:space="preserve"> resultaterne af boringskontrollen,</w:t>
      </w:r>
    </w:p>
    <w:p w:rsidR="009620D3" w:rsidRPr="009620D3" w:rsidRDefault="009620D3" w:rsidP="009620D3">
      <w:pPr>
        <w:pStyle w:val="liste1"/>
        <w:rPr>
          <w:rFonts w:ascii="Open Sans" w:hAnsi="Open Sans" w:cs="Open Sans"/>
          <w:sz w:val="44"/>
          <w:szCs w:val="44"/>
        </w:rPr>
      </w:pPr>
      <w:r w:rsidRPr="009620D3">
        <w:rPr>
          <w:rStyle w:val="liste1nr1"/>
          <w:rFonts w:ascii="Open Sans" w:hAnsi="Open Sans" w:cs="Open Sans"/>
          <w:sz w:val="44"/>
          <w:szCs w:val="44"/>
        </w:rPr>
        <w:t>b)</w:t>
      </w:r>
      <w:r w:rsidRPr="009620D3">
        <w:rPr>
          <w:rFonts w:ascii="Open Sans" w:hAnsi="Open Sans" w:cs="Open Sans"/>
          <w:sz w:val="44"/>
          <w:szCs w:val="44"/>
        </w:rPr>
        <w:t xml:space="preserve"> hvis det kan antages, at der findes stoffer eller mikroorganismer, som kan udgøre en potentiel fare for sundheden,</w:t>
      </w:r>
    </w:p>
    <w:p w:rsidR="009620D3" w:rsidRPr="009620D3" w:rsidRDefault="009620D3" w:rsidP="009620D3">
      <w:pPr>
        <w:pStyle w:val="liste1"/>
        <w:rPr>
          <w:rFonts w:ascii="Open Sans" w:hAnsi="Open Sans" w:cs="Open Sans"/>
          <w:sz w:val="44"/>
          <w:szCs w:val="44"/>
        </w:rPr>
      </w:pPr>
      <w:r w:rsidRPr="009620D3">
        <w:rPr>
          <w:rStyle w:val="liste1nr1"/>
          <w:rFonts w:ascii="Open Sans" w:hAnsi="Open Sans" w:cs="Open Sans"/>
          <w:sz w:val="44"/>
          <w:szCs w:val="44"/>
        </w:rPr>
        <w:t>c)</w:t>
      </w:r>
      <w:r w:rsidRPr="009620D3">
        <w:rPr>
          <w:rFonts w:ascii="Open Sans" w:hAnsi="Open Sans" w:cs="Open Sans"/>
          <w:sz w:val="44"/>
          <w:szCs w:val="44"/>
        </w:rPr>
        <w:t xml:space="preserve"> udfaldet af tidligere undersøgelser,</w:t>
      </w:r>
    </w:p>
    <w:p w:rsidR="009620D3" w:rsidRPr="009620D3" w:rsidRDefault="009620D3" w:rsidP="009620D3">
      <w:pPr>
        <w:pStyle w:val="liste1"/>
        <w:rPr>
          <w:rFonts w:ascii="Open Sans" w:hAnsi="Open Sans" w:cs="Open Sans"/>
          <w:sz w:val="44"/>
          <w:szCs w:val="44"/>
        </w:rPr>
      </w:pPr>
      <w:r w:rsidRPr="009620D3">
        <w:rPr>
          <w:rStyle w:val="liste1nr1"/>
          <w:rFonts w:ascii="Open Sans" w:hAnsi="Open Sans" w:cs="Open Sans"/>
          <w:sz w:val="44"/>
          <w:szCs w:val="44"/>
        </w:rPr>
        <w:t>d)</w:t>
      </w:r>
      <w:r w:rsidRPr="009620D3">
        <w:rPr>
          <w:rFonts w:ascii="Open Sans" w:hAnsi="Open Sans" w:cs="Open Sans"/>
          <w:sz w:val="44"/>
          <w:szCs w:val="44"/>
        </w:rPr>
        <w:t xml:space="preserve"> anlæggets særlige udsættelse for forurening, herunder afsmitning fra materialer og produkter i kontakt med vandet, eller</w:t>
      </w:r>
    </w:p>
    <w:p w:rsidR="009620D3" w:rsidRPr="009620D3" w:rsidRDefault="009620D3" w:rsidP="009620D3">
      <w:pPr>
        <w:pStyle w:val="liste1"/>
        <w:rPr>
          <w:rFonts w:ascii="Open Sans" w:hAnsi="Open Sans" w:cs="Open Sans"/>
          <w:sz w:val="44"/>
          <w:szCs w:val="44"/>
        </w:rPr>
      </w:pPr>
      <w:r w:rsidRPr="009620D3">
        <w:rPr>
          <w:rStyle w:val="liste1nr1"/>
          <w:rFonts w:ascii="Open Sans" w:hAnsi="Open Sans" w:cs="Open Sans"/>
          <w:sz w:val="44"/>
          <w:szCs w:val="44"/>
        </w:rPr>
        <w:t>e)</w:t>
      </w:r>
      <w:r w:rsidRPr="009620D3">
        <w:rPr>
          <w:rFonts w:ascii="Open Sans" w:hAnsi="Open Sans" w:cs="Open Sans"/>
          <w:sz w:val="44"/>
          <w:szCs w:val="44"/>
        </w:rPr>
        <w:t xml:space="preserve"> andre forhold taler for det.</w:t>
      </w:r>
    </w:p>
    <w:p w:rsidR="009620D3" w:rsidRPr="009620D3" w:rsidRDefault="009620D3" w:rsidP="009620D3">
      <w:pPr>
        <w:pStyle w:val="NormalWeb"/>
        <w:rPr>
          <w:rFonts w:ascii="Open Sans" w:hAnsi="Open Sans" w:cs="Open Sans"/>
          <w:sz w:val="44"/>
          <w:szCs w:val="44"/>
        </w:rPr>
      </w:pPr>
      <w:r w:rsidRPr="009620D3">
        <w:rPr>
          <w:rFonts w:ascii="Open Sans" w:hAnsi="Open Sans" w:cs="Open Sans"/>
          <w:sz w:val="44"/>
          <w:szCs w:val="44"/>
        </w:rPr>
        <w:t>De parametre, der neden for er anført i punkt 2, kontrolleres med de relevante prøveudtagningshyppigheder, der er anført i punkt 3. Prøveudtagningshyppigheder for øvrige parametre fastsættes ud fra forholdene.</w:t>
      </w:r>
    </w:p>
    <w:p w:rsidR="009620D3" w:rsidRDefault="009620D3">
      <w:pPr>
        <w:rPr>
          <w:rStyle w:val="bold1"/>
          <w:rFonts w:ascii="Open Sans" w:eastAsia="Times New Roman" w:hAnsi="Open Sans" w:cs="Open Sans"/>
          <w:sz w:val="40"/>
          <w:szCs w:val="40"/>
          <w:lang w:eastAsia="da-DK"/>
        </w:rPr>
      </w:pPr>
      <w:r>
        <w:rPr>
          <w:rStyle w:val="bold1"/>
          <w:rFonts w:ascii="Open Sans" w:hAnsi="Open Sans" w:cs="Open Sans"/>
          <w:sz w:val="40"/>
          <w:szCs w:val="40"/>
        </w:rPr>
        <w:br w:type="page"/>
      </w:r>
    </w:p>
    <w:p w:rsidR="001D46B4" w:rsidRPr="009620D3" w:rsidRDefault="001D46B4" w:rsidP="001D46B4">
      <w:pPr>
        <w:pStyle w:val="bilag"/>
        <w:jc w:val="left"/>
        <w:rPr>
          <w:rFonts w:ascii="Open Sans" w:hAnsi="Open Sans" w:cs="Open Sans"/>
          <w:sz w:val="56"/>
          <w:szCs w:val="56"/>
        </w:rPr>
      </w:pPr>
      <w:r w:rsidRPr="009620D3">
        <w:rPr>
          <w:rFonts w:ascii="Open Sans" w:hAnsi="Open Sans" w:cs="Open Sans"/>
          <w:sz w:val="56"/>
          <w:szCs w:val="56"/>
        </w:rPr>
        <w:lastRenderedPageBreak/>
        <w:t>Bilag 5 Kontrolprogrammet, Del B Kontrolparametre og hyppigheder</w:t>
      </w:r>
    </w:p>
    <w:p w:rsidR="009620D3" w:rsidRPr="001D46B4" w:rsidRDefault="009620D3" w:rsidP="009620D3">
      <w:pPr>
        <w:pStyle w:val="NormalWeb"/>
        <w:rPr>
          <w:rFonts w:ascii="Open Sans" w:hAnsi="Open Sans" w:cs="Open Sans"/>
          <w:sz w:val="42"/>
          <w:szCs w:val="42"/>
        </w:rPr>
      </w:pPr>
      <w:r w:rsidRPr="001D46B4">
        <w:rPr>
          <w:rStyle w:val="bold1"/>
          <w:rFonts w:ascii="Open Sans" w:hAnsi="Open Sans" w:cs="Open Sans"/>
          <w:sz w:val="42"/>
          <w:szCs w:val="42"/>
        </w:rPr>
        <w:t>2.</w:t>
      </w:r>
      <w:r w:rsidRPr="001D46B4">
        <w:rPr>
          <w:rFonts w:ascii="Open Sans" w:hAnsi="Open Sans" w:cs="Open Sans"/>
          <w:sz w:val="42"/>
          <w:szCs w:val="42"/>
        </w:rPr>
        <w:t xml:space="preserve"> </w:t>
      </w:r>
      <w:r w:rsidRPr="001D46B4">
        <w:rPr>
          <w:rStyle w:val="bold1"/>
          <w:rFonts w:ascii="Open Sans" w:hAnsi="Open Sans" w:cs="Open Sans"/>
          <w:sz w:val="42"/>
          <w:szCs w:val="42"/>
        </w:rPr>
        <w:t>Liste over parametre</w:t>
      </w:r>
    </w:p>
    <w:p w:rsidR="009620D3" w:rsidRPr="001D46B4" w:rsidRDefault="009620D3" w:rsidP="009620D3">
      <w:pPr>
        <w:pStyle w:val="NormalWeb"/>
        <w:rPr>
          <w:rFonts w:ascii="Open Sans" w:hAnsi="Open Sans" w:cs="Open Sans"/>
          <w:b/>
          <w:sz w:val="42"/>
          <w:szCs w:val="42"/>
        </w:rPr>
      </w:pPr>
      <w:r w:rsidRPr="001D46B4">
        <w:rPr>
          <w:rStyle w:val="italic1"/>
          <w:rFonts w:ascii="Open Sans" w:hAnsi="Open Sans" w:cs="Open Sans"/>
          <w:b/>
          <w:sz w:val="42"/>
          <w:szCs w:val="42"/>
        </w:rPr>
        <w:t>Gruppe A-parameter</w:t>
      </w:r>
      <w:r w:rsidRPr="001D46B4">
        <w:rPr>
          <w:rFonts w:ascii="Open Sans" w:hAnsi="Open Sans" w:cs="Open Sans"/>
          <w:b/>
          <w:sz w:val="42"/>
          <w:szCs w:val="42"/>
        </w:rPr>
        <w:t xml:space="preserve"> </w:t>
      </w:r>
    </w:p>
    <w:p w:rsidR="009620D3" w:rsidRPr="001D46B4" w:rsidRDefault="009620D3" w:rsidP="009620D3">
      <w:pPr>
        <w:pStyle w:val="bilagtekstliste"/>
        <w:rPr>
          <w:rFonts w:ascii="Open Sans" w:hAnsi="Open Sans" w:cs="Open Sans"/>
          <w:sz w:val="42"/>
          <w:szCs w:val="42"/>
        </w:rPr>
      </w:pPr>
      <w:r w:rsidRPr="001D46B4">
        <w:rPr>
          <w:rFonts w:ascii="Open Sans" w:hAnsi="Open Sans" w:cs="Open Sans"/>
          <w:sz w:val="42"/>
          <w:szCs w:val="42"/>
        </w:rPr>
        <w:t>Følgende parametre (Gruppe A) kontrolleres i overensstemmelse med de kontrolhyppigheder, der er anført i punkt 3, tabel 1.</w:t>
      </w:r>
    </w:p>
    <w:p w:rsidR="009620D3" w:rsidRPr="001D46B4" w:rsidRDefault="009620D3" w:rsidP="009620D3">
      <w:pPr>
        <w:pStyle w:val="liste1"/>
        <w:rPr>
          <w:rFonts w:ascii="Open Sans" w:hAnsi="Open Sans" w:cs="Open Sans"/>
          <w:sz w:val="42"/>
          <w:szCs w:val="42"/>
        </w:rPr>
      </w:pPr>
      <w:r w:rsidRPr="001D46B4">
        <w:rPr>
          <w:rStyle w:val="liste1nr1"/>
          <w:rFonts w:ascii="Open Sans" w:hAnsi="Open Sans" w:cs="Open Sans"/>
          <w:sz w:val="42"/>
          <w:szCs w:val="42"/>
        </w:rPr>
        <w:t>a)</w:t>
      </w:r>
      <w:r w:rsidRPr="001D46B4">
        <w:rPr>
          <w:rFonts w:ascii="Open Sans" w:hAnsi="Open Sans" w:cs="Open Sans"/>
          <w:sz w:val="42"/>
          <w:szCs w:val="42"/>
        </w:rPr>
        <w:t xml:space="preserve"> Escherichia coli (E. coli), coliforme bakterier, kimtal ved 22 °C, farve, turbiditet, smag, lugt, pH, ledningsevne.</w:t>
      </w:r>
    </w:p>
    <w:p w:rsidR="009620D3" w:rsidRPr="001D46B4" w:rsidRDefault="009620D3" w:rsidP="009620D3">
      <w:pPr>
        <w:pStyle w:val="liste1"/>
        <w:rPr>
          <w:rFonts w:ascii="Open Sans" w:hAnsi="Open Sans" w:cs="Open Sans"/>
          <w:sz w:val="42"/>
          <w:szCs w:val="42"/>
        </w:rPr>
      </w:pPr>
      <w:r w:rsidRPr="001D46B4">
        <w:rPr>
          <w:rStyle w:val="liste1nr1"/>
          <w:rFonts w:ascii="Open Sans" w:hAnsi="Open Sans" w:cs="Open Sans"/>
          <w:sz w:val="42"/>
          <w:szCs w:val="42"/>
        </w:rPr>
        <w:t>b)</w:t>
      </w:r>
      <w:r w:rsidRPr="001D46B4">
        <w:rPr>
          <w:rFonts w:ascii="Open Sans" w:hAnsi="Open Sans" w:cs="Open Sans"/>
          <w:sz w:val="42"/>
          <w:szCs w:val="42"/>
        </w:rPr>
        <w:t xml:space="preserve"> Jern.</w:t>
      </w:r>
    </w:p>
    <w:p w:rsidR="009620D3" w:rsidRPr="001D46B4" w:rsidRDefault="009620D3" w:rsidP="009620D3">
      <w:pPr>
        <w:pStyle w:val="liste1"/>
        <w:rPr>
          <w:rFonts w:ascii="Open Sans" w:hAnsi="Open Sans" w:cs="Open Sans"/>
          <w:sz w:val="42"/>
          <w:szCs w:val="42"/>
        </w:rPr>
      </w:pPr>
      <w:r w:rsidRPr="001D46B4">
        <w:rPr>
          <w:rStyle w:val="liste1nr1"/>
          <w:rFonts w:ascii="Open Sans" w:hAnsi="Open Sans" w:cs="Open Sans"/>
          <w:sz w:val="42"/>
          <w:szCs w:val="42"/>
        </w:rPr>
        <w:t>c)</w:t>
      </w:r>
      <w:r w:rsidRPr="001D46B4">
        <w:rPr>
          <w:rFonts w:ascii="Open Sans" w:hAnsi="Open Sans" w:cs="Open Sans"/>
          <w:sz w:val="42"/>
          <w:szCs w:val="42"/>
        </w:rPr>
        <w:t xml:space="preserve"> Andre parametre, hvis det er relevant, ifølge en risikovurdering, jf. bilag 6.</w:t>
      </w:r>
    </w:p>
    <w:p w:rsidR="009620D3" w:rsidRPr="001D46B4" w:rsidRDefault="009620D3" w:rsidP="009620D3">
      <w:pPr>
        <w:pStyle w:val="bilagtekstliste"/>
        <w:rPr>
          <w:rFonts w:ascii="Open Sans" w:hAnsi="Open Sans" w:cs="Open Sans"/>
          <w:sz w:val="42"/>
          <w:szCs w:val="42"/>
        </w:rPr>
      </w:pPr>
      <w:r w:rsidRPr="001D46B4">
        <w:rPr>
          <w:rFonts w:ascii="Open Sans" w:hAnsi="Open Sans" w:cs="Open Sans"/>
          <w:sz w:val="42"/>
          <w:szCs w:val="42"/>
        </w:rPr>
        <w:t>Under bestemte omstændigheder tilføjes følgende parametre til Gruppe A-parametrene:</w:t>
      </w:r>
    </w:p>
    <w:p w:rsidR="009620D3" w:rsidRPr="001D46B4" w:rsidRDefault="009620D3" w:rsidP="009620D3">
      <w:pPr>
        <w:pStyle w:val="liste1"/>
        <w:rPr>
          <w:rFonts w:ascii="Open Sans" w:hAnsi="Open Sans" w:cs="Open Sans"/>
          <w:sz w:val="42"/>
          <w:szCs w:val="42"/>
        </w:rPr>
      </w:pPr>
      <w:r w:rsidRPr="001D46B4">
        <w:rPr>
          <w:rStyle w:val="liste1nr1"/>
          <w:rFonts w:ascii="Open Sans" w:hAnsi="Open Sans" w:cs="Open Sans"/>
          <w:sz w:val="42"/>
          <w:szCs w:val="42"/>
        </w:rPr>
        <w:t>a)</w:t>
      </w:r>
      <w:r w:rsidRPr="001D46B4">
        <w:rPr>
          <w:rFonts w:ascii="Open Sans" w:hAnsi="Open Sans" w:cs="Open Sans"/>
          <w:sz w:val="42"/>
          <w:szCs w:val="42"/>
        </w:rPr>
        <w:t xml:space="preserve"> Ammonium og nitrit, hvis der anvendes chloraminering.</w:t>
      </w:r>
    </w:p>
    <w:p w:rsidR="009620D3" w:rsidRPr="001D46B4" w:rsidRDefault="009620D3" w:rsidP="009620D3">
      <w:pPr>
        <w:pStyle w:val="liste1"/>
        <w:rPr>
          <w:rFonts w:ascii="Open Sans" w:hAnsi="Open Sans" w:cs="Open Sans"/>
          <w:sz w:val="42"/>
          <w:szCs w:val="42"/>
        </w:rPr>
      </w:pPr>
      <w:r w:rsidRPr="001D46B4">
        <w:rPr>
          <w:rStyle w:val="liste1nr1"/>
          <w:rFonts w:ascii="Open Sans" w:hAnsi="Open Sans" w:cs="Open Sans"/>
          <w:sz w:val="42"/>
          <w:szCs w:val="42"/>
        </w:rPr>
        <w:t>b)</w:t>
      </w:r>
      <w:r w:rsidRPr="001D46B4">
        <w:rPr>
          <w:rFonts w:ascii="Open Sans" w:hAnsi="Open Sans" w:cs="Open Sans"/>
          <w:sz w:val="42"/>
          <w:szCs w:val="42"/>
        </w:rPr>
        <w:t xml:space="preserve"> Nitrit, hvis ammoniumindholdet i sidste prøve af drikkevandet overstiger 0,05 mg/l.</w:t>
      </w:r>
    </w:p>
    <w:p w:rsidR="009620D3" w:rsidRPr="001D46B4" w:rsidRDefault="009620D3" w:rsidP="009620D3">
      <w:pPr>
        <w:pStyle w:val="liste1"/>
        <w:rPr>
          <w:rFonts w:ascii="Open Sans" w:hAnsi="Open Sans" w:cs="Open Sans"/>
          <w:sz w:val="42"/>
          <w:szCs w:val="42"/>
        </w:rPr>
      </w:pPr>
      <w:r w:rsidRPr="001D46B4">
        <w:rPr>
          <w:rStyle w:val="liste1nr1"/>
          <w:rFonts w:ascii="Open Sans" w:hAnsi="Open Sans" w:cs="Open Sans"/>
          <w:sz w:val="42"/>
          <w:szCs w:val="42"/>
        </w:rPr>
        <w:t>c)</w:t>
      </w:r>
      <w:r w:rsidRPr="001D46B4">
        <w:rPr>
          <w:rFonts w:ascii="Open Sans" w:hAnsi="Open Sans" w:cs="Open Sans"/>
          <w:sz w:val="42"/>
          <w:szCs w:val="42"/>
        </w:rPr>
        <w:t xml:space="preserve"> Aluminium, hvis det bruges som vandbehandlingskemikalie.</w:t>
      </w:r>
    </w:p>
    <w:p w:rsidR="009620D3" w:rsidRPr="001D46B4" w:rsidRDefault="009620D3" w:rsidP="009620D3">
      <w:pPr>
        <w:pStyle w:val="liste1"/>
        <w:rPr>
          <w:rFonts w:ascii="Open Sans" w:hAnsi="Open Sans" w:cs="Open Sans"/>
          <w:sz w:val="42"/>
          <w:szCs w:val="42"/>
        </w:rPr>
      </w:pPr>
      <w:r w:rsidRPr="001D46B4">
        <w:rPr>
          <w:rStyle w:val="liste1nr1"/>
          <w:rFonts w:ascii="Open Sans" w:hAnsi="Open Sans" w:cs="Open Sans"/>
          <w:sz w:val="42"/>
          <w:szCs w:val="42"/>
        </w:rPr>
        <w:t>d)</w:t>
      </w:r>
      <w:r w:rsidRPr="001D46B4">
        <w:rPr>
          <w:rFonts w:ascii="Open Sans" w:hAnsi="Open Sans" w:cs="Open Sans"/>
          <w:sz w:val="42"/>
          <w:szCs w:val="42"/>
        </w:rPr>
        <w:t xml:space="preserve"> Chlor (frit og total) eller rester af andet desinfektionsmiddel, hvis vandet desinficeres. Analyse foretages på prøveudtagningsstedet.</w:t>
      </w:r>
    </w:p>
    <w:p w:rsidR="009620D3" w:rsidRPr="001D46B4" w:rsidRDefault="009620D3" w:rsidP="009620D3">
      <w:pPr>
        <w:pStyle w:val="NormalWeb"/>
        <w:rPr>
          <w:rFonts w:ascii="Open Sans" w:hAnsi="Open Sans" w:cs="Open Sans"/>
          <w:b/>
          <w:sz w:val="42"/>
          <w:szCs w:val="42"/>
        </w:rPr>
      </w:pPr>
      <w:r w:rsidRPr="001D46B4">
        <w:rPr>
          <w:rStyle w:val="italic1"/>
          <w:rFonts w:ascii="Open Sans" w:hAnsi="Open Sans" w:cs="Open Sans"/>
          <w:b/>
          <w:sz w:val="42"/>
          <w:szCs w:val="42"/>
        </w:rPr>
        <w:t>Gruppe B-parametre</w:t>
      </w:r>
      <w:r w:rsidRPr="001D46B4">
        <w:rPr>
          <w:rFonts w:ascii="Open Sans" w:hAnsi="Open Sans" w:cs="Open Sans"/>
          <w:b/>
          <w:sz w:val="42"/>
          <w:szCs w:val="42"/>
        </w:rPr>
        <w:t xml:space="preserve"> </w:t>
      </w:r>
    </w:p>
    <w:p w:rsidR="009620D3" w:rsidRPr="001D46B4" w:rsidRDefault="009620D3" w:rsidP="009620D3">
      <w:pPr>
        <w:pStyle w:val="NormalWeb"/>
        <w:rPr>
          <w:rFonts w:ascii="Open Sans" w:hAnsi="Open Sans" w:cs="Open Sans"/>
          <w:sz w:val="42"/>
          <w:szCs w:val="42"/>
        </w:rPr>
      </w:pPr>
      <w:r w:rsidRPr="001D46B4">
        <w:rPr>
          <w:rFonts w:ascii="Open Sans" w:hAnsi="Open Sans" w:cs="Open Sans"/>
          <w:sz w:val="42"/>
          <w:szCs w:val="42"/>
        </w:rPr>
        <w:t>For at fastslå overholdelsen af alle kvalitetskrav, der er fastlagt i bilag 1 a-d, skal alle parametre, som ikke analyseres under Gruppe A, og som er fastsat i bilag 1 a-d, kontrolleres med mindst de hyppigheder, der er anført i punkt 3, tabel 1.</w:t>
      </w:r>
    </w:p>
    <w:p w:rsidR="00FB0D96" w:rsidRPr="001D46B4" w:rsidRDefault="009620D3" w:rsidP="009620D3">
      <w:pPr>
        <w:pStyle w:val="NormalWeb"/>
        <w:rPr>
          <w:rFonts w:ascii="Open Sans" w:hAnsi="Open Sans" w:cs="Open Sans"/>
          <w:sz w:val="42"/>
          <w:szCs w:val="42"/>
        </w:rPr>
      </w:pPr>
      <w:r w:rsidRPr="001D46B4">
        <w:rPr>
          <w:rFonts w:ascii="Open Sans" w:hAnsi="Open Sans" w:cs="Open Sans"/>
          <w:sz w:val="42"/>
          <w:szCs w:val="42"/>
        </w:rPr>
        <w:t>Med hensyn til parameteren pesticider, jf. bilag 1 c, omfatter kontrollen de pesticider og nedbrydningsprodukter, som er angivet i bilag 2.</w:t>
      </w:r>
    </w:p>
    <w:sectPr w:rsidR="00FB0D96" w:rsidRPr="001D46B4" w:rsidSect="009620D3">
      <w:footerReference w:type="default" r:id="rId8"/>
      <w:pgSz w:w="23811" w:h="16838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D3" w:rsidRDefault="009620D3" w:rsidP="0073414C">
      <w:r>
        <w:separator/>
      </w:r>
    </w:p>
  </w:endnote>
  <w:endnote w:type="continuationSeparator" w:id="0">
    <w:p w:rsidR="009620D3" w:rsidRDefault="009620D3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BF" w:rsidRPr="00A96CBF" w:rsidRDefault="00A96CBF" w:rsidP="00A96CBF">
    <w:pPr>
      <w:pStyle w:val="Sidefod"/>
      <w:jc w:val="right"/>
      <w:rPr>
        <w:sz w:val="24"/>
        <w:szCs w:val="24"/>
      </w:rPr>
    </w:pPr>
    <w:r w:rsidRPr="00A96CBF">
      <w:rPr>
        <w:sz w:val="24"/>
        <w:szCs w:val="24"/>
      </w:rPr>
      <w:t xml:space="preserve">Side </w:t>
    </w:r>
    <w:r w:rsidRPr="00A96CBF">
      <w:rPr>
        <w:bCs/>
        <w:sz w:val="24"/>
        <w:szCs w:val="24"/>
      </w:rPr>
      <w:fldChar w:fldCharType="begin"/>
    </w:r>
    <w:r w:rsidRPr="00A96CBF">
      <w:rPr>
        <w:bCs/>
        <w:sz w:val="24"/>
        <w:szCs w:val="24"/>
      </w:rPr>
      <w:instrText>PAGE  \* Arabic  \* MERGEFORMAT</w:instrText>
    </w:r>
    <w:r w:rsidRPr="00A96CBF">
      <w:rPr>
        <w:bCs/>
        <w:sz w:val="24"/>
        <w:szCs w:val="24"/>
      </w:rPr>
      <w:fldChar w:fldCharType="separate"/>
    </w:r>
    <w:r>
      <w:rPr>
        <w:bCs/>
        <w:noProof/>
        <w:sz w:val="24"/>
        <w:szCs w:val="24"/>
      </w:rPr>
      <w:t>2</w:t>
    </w:r>
    <w:r w:rsidRPr="00A96CBF">
      <w:rPr>
        <w:bCs/>
        <w:sz w:val="24"/>
        <w:szCs w:val="24"/>
      </w:rPr>
      <w:fldChar w:fldCharType="end"/>
    </w:r>
    <w:r w:rsidRPr="00A96CBF">
      <w:rPr>
        <w:sz w:val="24"/>
        <w:szCs w:val="24"/>
      </w:rPr>
      <w:t xml:space="preserve"> af </w:t>
    </w:r>
    <w:r w:rsidRPr="00A96CBF">
      <w:rPr>
        <w:bCs/>
        <w:sz w:val="24"/>
        <w:szCs w:val="24"/>
      </w:rPr>
      <w:fldChar w:fldCharType="begin"/>
    </w:r>
    <w:r w:rsidRPr="00A96CBF">
      <w:rPr>
        <w:bCs/>
        <w:sz w:val="24"/>
        <w:szCs w:val="24"/>
      </w:rPr>
      <w:instrText>NUMPAGES  \* Arabic  \* MERGEFORMAT</w:instrText>
    </w:r>
    <w:r w:rsidRPr="00A96CBF">
      <w:rPr>
        <w:bCs/>
        <w:sz w:val="24"/>
        <w:szCs w:val="24"/>
      </w:rPr>
      <w:fldChar w:fldCharType="separate"/>
    </w:r>
    <w:r>
      <w:rPr>
        <w:bCs/>
        <w:noProof/>
        <w:sz w:val="24"/>
        <w:szCs w:val="24"/>
      </w:rPr>
      <w:t>2</w:t>
    </w:r>
    <w:r w:rsidRPr="00A96CBF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D3" w:rsidRDefault="009620D3" w:rsidP="0073414C">
      <w:r>
        <w:separator/>
      </w:r>
    </w:p>
  </w:footnote>
  <w:footnote w:type="continuationSeparator" w:id="0">
    <w:p w:rsidR="009620D3" w:rsidRDefault="009620D3" w:rsidP="007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D3"/>
    <w:rsid w:val="00114916"/>
    <w:rsid w:val="00165D33"/>
    <w:rsid w:val="001D296B"/>
    <w:rsid w:val="001D46B4"/>
    <w:rsid w:val="00605D0D"/>
    <w:rsid w:val="006576EB"/>
    <w:rsid w:val="0073414C"/>
    <w:rsid w:val="00884213"/>
    <w:rsid w:val="008D26DB"/>
    <w:rsid w:val="009620D3"/>
    <w:rsid w:val="00A96CBF"/>
    <w:rsid w:val="00B81A1B"/>
    <w:rsid w:val="00B95E67"/>
    <w:rsid w:val="00C66BDB"/>
    <w:rsid w:val="00C75EC1"/>
    <w:rsid w:val="00CB0236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26DD"/>
  <w15:chartTrackingRefBased/>
  <w15:docId w15:val="{46CDD844-74E4-44D3-A806-BD1078A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D96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paragraph" w:styleId="NormalWeb">
    <w:name w:val="Normal (Web)"/>
    <w:basedOn w:val="Normal"/>
    <w:uiPriority w:val="99"/>
    <w:unhideWhenUsed/>
    <w:rsid w:val="009620D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tekstliste">
    <w:name w:val="bilagtekstliste"/>
    <w:basedOn w:val="Normal"/>
    <w:rsid w:val="009620D3"/>
    <w:pPr>
      <w:spacing w:before="20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">
    <w:name w:val="bilag"/>
    <w:basedOn w:val="Normal"/>
    <w:rsid w:val="009620D3"/>
    <w:pPr>
      <w:spacing w:before="400" w:after="120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bilagtekst">
    <w:name w:val="bilagtekst"/>
    <w:basedOn w:val="Normal"/>
    <w:rsid w:val="009620D3"/>
    <w:pPr>
      <w:spacing w:after="120"/>
      <w:jc w:val="center"/>
    </w:pPr>
    <w:rPr>
      <w:rFonts w:ascii="Tahoma" w:eastAsia="Times New Roman" w:hAnsi="Tahoma" w:cs="Tahoma"/>
      <w:b/>
      <w:bCs/>
      <w:color w:val="000000"/>
      <w:sz w:val="30"/>
      <w:szCs w:val="30"/>
      <w:lang w:eastAsia="da-DK"/>
    </w:rPr>
  </w:style>
  <w:style w:type="paragraph" w:customStyle="1" w:styleId="liste1">
    <w:name w:val="liste1"/>
    <w:basedOn w:val="Normal"/>
    <w:rsid w:val="009620D3"/>
    <w:pPr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9620D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9620D3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italic1">
    <w:name w:val="italic1"/>
    <w:basedOn w:val="Standardskrifttypeiafsnit"/>
    <w:rsid w:val="009620D3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46B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46B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6CB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96CBF"/>
  </w:style>
  <w:style w:type="paragraph" w:styleId="Sidefod">
    <w:name w:val="footer"/>
    <w:basedOn w:val="Normal"/>
    <w:link w:val="SidefodTegn"/>
    <w:uiPriority w:val="99"/>
    <w:unhideWhenUsed/>
    <w:rsid w:val="00A96CB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6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801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0FAE-8710-407F-BFA4-5B642AEC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Kommune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Kristine Keiding - Thisted Kommune</dc:creator>
  <cp:keywords/>
  <dc:description/>
  <cp:lastModifiedBy>Anne Kristine Keiding - Thisted Kommune</cp:lastModifiedBy>
  <cp:revision>2</cp:revision>
  <cp:lastPrinted>2018-01-31T07:49:00Z</cp:lastPrinted>
  <dcterms:created xsi:type="dcterms:W3CDTF">2018-01-31T07:49:00Z</dcterms:created>
  <dcterms:modified xsi:type="dcterms:W3CDTF">2018-01-31T07:49:00Z</dcterms:modified>
</cp:coreProperties>
</file>